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224-НҚ от 23.06.2023</w:t>
      </w:r>
    </w:p>
    <w:p w:rsidR="00352C6E" w:rsidRDefault="00352C6E" w:rsidP="00352C6E">
      <w:pPr>
        <w:spacing w:after="0" w:line="240" w:lineRule="auto"/>
        <w:ind w:firstLine="709"/>
        <w:jc w:val="right"/>
        <w:rPr>
          <w:rFonts w:ascii="Arial" w:eastAsia="Times New Roman" w:hAnsi="Arial" w:cs="Arial"/>
          <w:i/>
          <w:color w:val="000000"/>
          <w:sz w:val="24"/>
          <w:szCs w:val="24"/>
          <w:lang w:val="kk-KZ"/>
        </w:rPr>
      </w:pPr>
      <w:bookmarkStart w:id="0" w:name="_Hlk137634078"/>
      <w:r w:rsidRPr="00352C6E">
        <w:rPr>
          <w:rFonts w:ascii="Arial" w:eastAsia="Times New Roman" w:hAnsi="Arial" w:cs="Arial"/>
          <w:i/>
          <w:color w:val="000000"/>
          <w:sz w:val="24"/>
          <w:szCs w:val="24"/>
          <w:lang w:val="kk-KZ"/>
        </w:rPr>
        <w:t>Қосымша 2</w:t>
      </w:r>
    </w:p>
    <w:p w:rsidR="00352C6E" w:rsidRPr="00352C6E" w:rsidRDefault="00352C6E" w:rsidP="00352C6E">
      <w:pPr>
        <w:spacing w:after="0" w:line="240" w:lineRule="auto"/>
        <w:ind w:firstLine="709"/>
        <w:jc w:val="right"/>
        <w:rPr>
          <w:rFonts w:ascii="Arial" w:eastAsia="Times New Roman" w:hAnsi="Arial" w:cs="Arial"/>
          <w:i/>
          <w:color w:val="000000"/>
          <w:sz w:val="24"/>
          <w:szCs w:val="24"/>
          <w:lang w:val="kk-KZ"/>
        </w:rPr>
      </w:pP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1.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Халал тізбегін басқару жүйесі. 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1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Тасымалдау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Жалпы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2.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жеткізу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тізбегін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басқару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жүйесі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2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Сақтау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Жалпы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»;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жеткізу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тізбегін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басқару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жүйесі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3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Бөлшек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сауда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Жалпы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»;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4.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ГОСТ «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Полиграфия.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Полиграфиялық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Жабдықтар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мен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үшін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1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Жалпы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5.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Полиграфия.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Полиграфиялық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Жабдықтар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мен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үшін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2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Баспаға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дейінгі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баспа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жабдықтары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мен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жүйелері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6.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Полиграфия.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Полиграфиялық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Жабдықтар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мен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үшін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3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>. Буклет-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түптеу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әрлеу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жабдықтары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мен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жүйелері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7.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ГОСТ 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өнімдеріне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қойылатын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жалпы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>"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8.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Желатинді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тамақ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Халалы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Сынақ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мен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әдістері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>"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9.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Сәйкестікті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бағалау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үшін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біліктілікті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тексерудің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жалпы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>"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10.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Адамдарды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тасымалдауға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арналған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арқан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қондырғыларына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қойылатын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Іске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қосу-баптау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жұмыстарын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бақылау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техникалық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қызмет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көрсету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пайдалану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бақылауы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бойынша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нұсқаулар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11.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Адамдарды 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тасымалдауға арналған арқан қондырғыларына қойылатын қауіпсіздік талаптары. Кернеу құрылғылары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12.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Адамдарды 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тасымалдауға арналған арқан қондырғыларына қойылатын қауіпсіздік талаптары. Қайтару және эвакуациялау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13.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Ет 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және ет өнімдері.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Бояғыштарды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анықтау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анықтау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14.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>ГОСТ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Адамдарды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тасымалдауға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арналған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арқан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қондырғыларына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қойылатын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Азаматтық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құрылыстар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салу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15.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Машиналардың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қауіпсіздігі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Машиналардан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шығатын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сәулелену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қаупін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бағалау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азайту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2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Сәулеленуді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өлшеу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әдістері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16.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Машиналардың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қауіпсіздігі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Машиналардан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шығатын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сәулелену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қаупін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бағалау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азайту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3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Экрандау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оқш</w:t>
      </w:r>
      <w:r>
        <w:rPr>
          <w:rFonts w:ascii="Arial" w:eastAsia="Times New Roman" w:hAnsi="Arial" w:cs="Arial"/>
          <w:color w:val="000000"/>
          <w:sz w:val="24"/>
          <w:szCs w:val="24"/>
        </w:rPr>
        <w:t>аулау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арқылы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сәулеленуді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азайту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17.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«Газ 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оттықтары мен аппараттарын қорғау және басқару құрылғылары. 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Жеке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талаптар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2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Қысым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реттегіштері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18.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Тұрмыстық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қолдануға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арналмаған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бір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оттығы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бар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құбырлы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радиациялық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газды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төбелік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жылытқыштар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Қауіпсіздік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энергия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тиімділігі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19.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>ГОСТ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 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Бір 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оттығы бар құбырлы сәулелі газ төбесі жылытқыштары және тұрмыстық емес қолдануға арналған бірнеше қыздырғыштары бар үздіксіз әрекет ететін құбырлы сәулелі жылытқыштар жүйесі. Қауіпсіздік және энергия тиімділігі талаптары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.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20.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Номиналды 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жылу қуаты 70 кВт дейін жылыту және / немесе салқындату үшін сорбциялық газ аспаптары. 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3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Сынақ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шарттары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21.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Астық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өңдеу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өнімдері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Майдың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қышқыл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санын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анықтау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22.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Сурет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. Дәндердің биометриялық сипаттамаларын анықтау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23.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Жел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энергиясын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өндіру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1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</w:t>
      </w:r>
      <w:r>
        <w:rPr>
          <w:rFonts w:ascii="Arial" w:eastAsia="Times New Roman" w:hAnsi="Arial" w:cs="Arial"/>
          <w:color w:val="000000"/>
          <w:sz w:val="24"/>
          <w:szCs w:val="24"/>
        </w:rPr>
        <w:t>ім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Дизайнға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қойылатын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талаптар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24.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Ауылдық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жерлерді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электрлендіру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Жаңартылатын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энергия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төмен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қуатты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гибридті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жүйелер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1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Жалпы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ережелер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lastRenderedPageBreak/>
        <w:t>25.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Құрамында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алтыны бар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белсендірілген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көмір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Алтын мен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күмісті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анықтау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әдісі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26.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Көмір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және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кокс.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Сөздік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1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бөлім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Көмірді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байытуға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қатысты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терминдер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27.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Кокс.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Шағын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контейнердегі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үйінді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тығыздығын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анықтау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28.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Кокс.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Елеу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арқылы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елеу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талдауы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29.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Кокс. Үлкен контейнердегі үйінді тығыздығын анықтау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30.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Полистиролдан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, стирол сополимерлерінен және резеңке-латекс композицияларынан жасалған бұйымдар. Су сорғы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 xml:space="preserve">штарындағы ацетофенонды анықтау» </w:t>
      </w:r>
    </w:p>
    <w:p w:rsidR="00352C6E" w:rsidRPr="00352C6E" w:rsidRDefault="00352C6E" w:rsidP="00352C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kk-KZ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31.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ab/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«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Резеңке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-латекс композицияларынан жасалған бұйымдар. Жоғары тиімді сұйық хроматография әдісімен су сорғыштарында агидол-40 анықтау</w:t>
      </w:r>
      <w:r>
        <w:rPr>
          <w:rFonts w:ascii="Arial" w:eastAsia="Times New Roman" w:hAnsi="Arial" w:cs="Arial"/>
          <w:color w:val="000000"/>
          <w:sz w:val="24"/>
          <w:szCs w:val="24"/>
          <w:lang w:val="kk-KZ"/>
        </w:rPr>
        <w:t>»</w:t>
      </w:r>
      <w:bookmarkStart w:id="1" w:name="_GoBack"/>
      <w:bookmarkEnd w:id="1"/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t>.</w:t>
      </w:r>
      <w:r w:rsidRPr="00352C6E">
        <w:rPr>
          <w:rFonts w:ascii="Arial" w:eastAsia="Times New Roman" w:hAnsi="Arial" w:cs="Arial"/>
          <w:color w:val="000000"/>
          <w:sz w:val="24"/>
          <w:szCs w:val="24"/>
          <w:lang w:val="kk-KZ"/>
        </w:rPr>
        <w:br w:type="page"/>
      </w:r>
    </w:p>
    <w:p w:rsidR="00352C6E" w:rsidRPr="00352C6E" w:rsidRDefault="00352C6E" w:rsidP="00352C6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i/>
          <w:color w:val="000000"/>
          <w:sz w:val="24"/>
          <w:szCs w:val="24"/>
        </w:rPr>
        <w:lastRenderedPageBreak/>
        <w:t>Приложение 2</w:t>
      </w:r>
    </w:p>
    <w:p w:rsidR="00352C6E" w:rsidRDefault="00352C6E" w:rsidP="00352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</w:rPr>
        <w:t>«</w:t>
      </w: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Система управления цепочкой </w:t>
      </w:r>
      <w:proofErr w:type="spell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0E4D60">
        <w:rPr>
          <w:rFonts w:ascii="Arial" w:eastAsia="Times New Roman" w:hAnsi="Arial" w:cs="Arial"/>
          <w:color w:val="000000"/>
          <w:sz w:val="24"/>
          <w:szCs w:val="24"/>
        </w:rPr>
        <w:t>. Часть 1. Транспортировка. Общие требования</w:t>
      </w:r>
      <w:r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Pr="000E4D60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</w:rPr>
        <w:t>«</w:t>
      </w: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Система управления цепочкой поставок </w:t>
      </w:r>
      <w:proofErr w:type="spell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0E4D60">
        <w:rPr>
          <w:rFonts w:ascii="Arial" w:eastAsia="Times New Roman" w:hAnsi="Arial" w:cs="Arial"/>
          <w:color w:val="000000"/>
          <w:sz w:val="24"/>
          <w:szCs w:val="24"/>
        </w:rPr>
        <w:t>. Часть 2. Хранение. Общие требования</w:t>
      </w:r>
      <w:r>
        <w:rPr>
          <w:rFonts w:ascii="Arial" w:eastAsia="Times New Roman" w:hAnsi="Arial" w:cs="Arial"/>
          <w:color w:val="000000"/>
          <w:sz w:val="24"/>
          <w:szCs w:val="24"/>
        </w:rPr>
        <w:t>»;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ГОСТ </w:t>
      </w:r>
      <w:r>
        <w:rPr>
          <w:rFonts w:ascii="Arial" w:eastAsia="Times New Roman" w:hAnsi="Arial" w:cs="Arial"/>
          <w:color w:val="000000"/>
          <w:sz w:val="24"/>
          <w:szCs w:val="24"/>
        </w:rPr>
        <w:t>«</w:t>
      </w: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Система управления цепочкой поставок </w:t>
      </w:r>
      <w:proofErr w:type="spell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0E4D60">
        <w:rPr>
          <w:rFonts w:ascii="Arial" w:eastAsia="Times New Roman" w:hAnsi="Arial" w:cs="Arial"/>
          <w:color w:val="000000"/>
          <w:sz w:val="24"/>
          <w:szCs w:val="24"/>
        </w:rPr>
        <w:t>. Часть 3. Розничная торговля. Общие требования</w:t>
      </w:r>
      <w:r>
        <w:rPr>
          <w:rFonts w:ascii="Arial" w:eastAsia="Times New Roman" w:hAnsi="Arial" w:cs="Arial"/>
          <w:color w:val="000000"/>
          <w:sz w:val="24"/>
          <w:szCs w:val="24"/>
        </w:rPr>
        <w:t>»;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«Полиграфия. Требования безопасности для полиграфических машин, оборудования и систем. Часть 1. Общие требования»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«Полиграфия. Требования безопасности для полиграфических машин, оборудования и систем. Часть 2. Машины, оборудование и системы допечатные и печатные»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«Полиграфия. Требования безопасности для полиграфических машин, оборудования и систем. Часть 3. Машины, оборудование и системы брошюровочно-переплетные и отделочные»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ГОСТ «Общие требования к продукции </w:t>
      </w:r>
      <w:proofErr w:type="spell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0E4D60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ГОСТ «Желатин пищевой </w:t>
      </w:r>
      <w:proofErr w:type="spell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0E4D60">
        <w:rPr>
          <w:rFonts w:ascii="Arial" w:eastAsia="Times New Roman" w:hAnsi="Arial" w:cs="Arial"/>
          <w:color w:val="000000"/>
          <w:sz w:val="24"/>
          <w:szCs w:val="24"/>
        </w:rPr>
        <w:t>. Требования и методы испытаний»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ГОСТ «Оценка соответствия. Общие требования проверки квалификации для </w:t>
      </w:r>
      <w:proofErr w:type="spell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Халал</w:t>
      </w:r>
      <w:proofErr w:type="spellEnd"/>
      <w:r w:rsidRPr="000E4D60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«Требования безопасности к канатным установкам для перевозки людей. Контроль пусконаладочных работ и указания по техническому обслуживанию и эксплуатационному контролю»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«Требования безопасности к канатным установкам для перевозки людей. Натяжные устройства»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«Требования безопасности к канатным установкам для перевозки людей. Возврат и эвакуация»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«Мясо и мясные продукты. Обнаружение и определение красителей»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«Требования безопасности к канатным установкам для перевозки людей. Строительство гражданских сооружений»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«Безопасность машин. Оценка и уменьшение опасности излучения, исходящего от машин. Часть 2. Методы измерений излучения»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«Безопасность машин. Оценка и уменьшение опасности излучения, исходящего от машин. Часть 3. Уменьшение излучения посредством экранирования и изоляции»</w:t>
      </w:r>
    </w:p>
    <w:p w:rsidR="00352C6E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ГОСТ «Устройства защиты и управления газовых горелок и аппаратов. Частные требования. Часть 2. Регуляторы давления». 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ГОСТ «Нагреватели трубчатые радиационные газовые потолочные с одной горелкой, не предназначенные для бытового применения. Безопасность и </w:t>
      </w:r>
      <w:proofErr w:type="spell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энергоэффективность</w:t>
      </w:r>
      <w:proofErr w:type="spellEnd"/>
      <w:r w:rsidRPr="000E4D60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352C6E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ГОСТ «Обогреватели трубчатые излучающие газовые потолочные с одной горелкой и системы трубчатых излучающих обогревателей непрерывного действия с несколькими горелками, предназначенные для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небытового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применения. Требования безопасности и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энергоэффективности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«Приборы газовые сорбционные для обогрева и/или охлаждения с номинальной тепловой мощностью до 70 кВт. Часть 3. Условия испытаний»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«Продукты переработки зерна. Определение кислотного числа жира»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«Рис. Определение биометрических характеристик зерен»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«Системы генерации энергии ветра. Часть 1. Требования к конструкции»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lastRenderedPageBreak/>
        <w:t>ГОСТ «Электрификация сельской местности. Системы с возобновляемыми источниками энергии и гибридные системы малой мощности. Часть 1. Общие положения»</w:t>
      </w:r>
    </w:p>
    <w:p w:rsidR="00352C6E" w:rsidRPr="000E4D6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E4D60">
        <w:rPr>
          <w:rFonts w:ascii="Arial" w:eastAsia="Times New Roman" w:hAnsi="Arial" w:cs="Arial"/>
          <w:color w:val="000000"/>
          <w:sz w:val="24"/>
          <w:szCs w:val="24"/>
        </w:rPr>
        <w:t>ГОСТ «</w:t>
      </w:r>
      <w:proofErr w:type="gramStart"/>
      <w:r w:rsidRPr="000E4D60">
        <w:rPr>
          <w:rFonts w:ascii="Arial" w:eastAsia="Times New Roman" w:hAnsi="Arial" w:cs="Arial"/>
          <w:color w:val="000000"/>
          <w:sz w:val="24"/>
          <w:szCs w:val="24"/>
        </w:rPr>
        <w:t>Уголь</w:t>
      </w:r>
      <w:proofErr w:type="gramEnd"/>
      <w:r w:rsidRPr="000E4D60">
        <w:rPr>
          <w:rFonts w:ascii="Arial" w:eastAsia="Times New Roman" w:hAnsi="Arial" w:cs="Arial"/>
          <w:color w:val="000000"/>
          <w:sz w:val="24"/>
          <w:szCs w:val="24"/>
        </w:rPr>
        <w:t xml:space="preserve"> активированный золотосодержащий. Метод определения золота и серебра»</w:t>
      </w:r>
    </w:p>
    <w:p w:rsidR="00352C6E" w:rsidRPr="00352C6E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ГОСТ «Уголь и кокс. Словарь. Часть 1. Термины, относящиеся к обогащению угля»</w:t>
      </w:r>
    </w:p>
    <w:p w:rsidR="00352C6E" w:rsidRPr="00352C6E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ГОСТ «Кокс. Определение насыпной плотности в малом контейнере»</w:t>
      </w:r>
    </w:p>
    <w:p w:rsidR="00352C6E" w:rsidRPr="00352C6E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ГОСТ «Кокс. Ситовый анализ путем просеивания»</w:t>
      </w:r>
    </w:p>
    <w:p w:rsidR="00352C6E" w:rsidRPr="00352C6E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>ГОСТ «Кокс. Определение насыпной плотности в большом контейнере»</w:t>
      </w:r>
    </w:p>
    <w:p w:rsidR="00352C6E" w:rsidRPr="00352C6E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ГОСТ «Изделия из полистирола, сополимеров стирола и из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резино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-латексных композиций. Определение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ацетофенона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 в водных вытяжках </w:t>
      </w:r>
      <w:bookmarkEnd w:id="0"/>
    </w:p>
    <w:p w:rsidR="009E40E0" w:rsidRDefault="00352C6E" w:rsidP="00352C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</w:pPr>
      <w:r w:rsidRPr="00352C6E">
        <w:rPr>
          <w:rFonts w:ascii="Arial" w:eastAsia="Times New Roman" w:hAnsi="Arial" w:cs="Arial"/>
          <w:color w:val="000000"/>
          <w:sz w:val="24"/>
          <w:szCs w:val="24"/>
        </w:rPr>
        <w:t xml:space="preserve">ГОСТ «Изделия из </w:t>
      </w:r>
      <w:proofErr w:type="spellStart"/>
      <w:r w:rsidRPr="00352C6E">
        <w:rPr>
          <w:rFonts w:ascii="Arial" w:eastAsia="Times New Roman" w:hAnsi="Arial" w:cs="Arial"/>
          <w:color w:val="000000"/>
          <w:sz w:val="24"/>
          <w:szCs w:val="24"/>
        </w:rPr>
        <w:t>резино</w:t>
      </w:r>
      <w:proofErr w:type="spellEnd"/>
      <w:r w:rsidRPr="00352C6E">
        <w:rPr>
          <w:rFonts w:ascii="Arial" w:eastAsia="Times New Roman" w:hAnsi="Arial" w:cs="Arial"/>
          <w:color w:val="000000"/>
          <w:sz w:val="24"/>
          <w:szCs w:val="24"/>
        </w:rPr>
        <w:t>-латексных композиций. Определение агидола-40 в водных вытяжках методом высокоэффективной жидкостной хроматографии».</w:t>
      </w:r>
    </w:p>
    <w:sectPr w:rsidR="009E40E0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20.06.2023 17:48 Яшкина Гульнара Бердыгуловна (без ЭЦП)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20.06.2023 17:51 Есенбекова Ж.Р ((и.о Еликбаев К.Н.))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ЕСЕНБЕКОВА ЖАННА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2022-07-21 16:57:53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2025-07-20 17:02:53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457677561757748933010944524029914983360693929982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OID.2.5.4.20="+77019990653", EMAILADDRESS=zh.esenbekova@mti.gov.kz, SURNAME=ЕСЕНБЕКОВА, SERIALNUMBER=IIN820225450176, GIVENNAME=РАШИДОВНА, CN=ЕСЕНБЕКОВА ЖАННА, OU=BIN940440000574, ST=Нур-Султан, O=Республиканское государственное учреждение «Комитет технического регулирования и метрологии Министерства торговли и интеграции Республики Казахстан»,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26.06.2023 14:42.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Қазбек Н.Д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9B1088"/>
    <w:multiLevelType w:val="hybridMultilevel"/>
    <w:tmpl w:val="E12E5E10"/>
    <w:lvl w:ilvl="0" w:tplc="FE3AB3A2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C6E"/>
    <w:rsid w:val="00352C6E"/>
    <w:rsid w:val="009E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C0219-8C27-4C07-B220-0CAE904182F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C6E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47" Type="http://schemas.openxmlformats.org/officeDocument/2006/relationships/image" Target="media/image947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1011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1</cp:revision>
  <dcterms:created xsi:type="dcterms:W3CDTF">2023-06-19T05:28:00Z</dcterms:created>
  <dcterms:modified xsi:type="dcterms:W3CDTF">2023-06-19T05:38:00Z</dcterms:modified>
</cp:coreProperties>
</file>